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Planilla de Datos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Razón Social (3 nombres alternativos en orden de preferencia)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Capital Social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Objeto Social: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Plazo de duración de la Sociedad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695"/>
        <w:tblGridChange w:id="0">
          <w:tblGrid>
            <w:gridCol w:w="4305"/>
            <w:gridCol w:w="4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Representante legal (Presidente / Gerente ) mencionar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 y Sede Social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 electrónico (una casilla de mail)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Fecha de Cierre del Ejercicio Económico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Porcentaje de Participación de cada Socios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558088" cy="10120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1012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yHRCn4kvzTH5EBWWH5awovs7w==">CgMxLjA4AHIhMW1BejNhUUxEWVlqMnBxZEF5UmVudWVmNkwtUzdldnJH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